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Дополнительное соглашение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к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предоставления безвозмездной (спонсорской) помощи № 26-12/13 от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"25"  октября 2016г.                                                                                                                  г. Могилев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ГУВПО «Белорусско-Российский университет»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в лице ректора Сазонова И.С.,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действующего на основании Устава,   именуемое в дальнейшем "Получатель",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общество с ограниченной ответственностью «Авем» в лице директора Комкова В.В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действующего на основании Устава, именуемое  в  дальнейшем  " Спонсор ",  с другой стороны, руководствуясь Указом Президента Республики Беларусь от 1 июля  2005г.          № 300   "О   предоставлении   и  использовании  безвозмездной (спонсорской) помощи"  (далее - Указ) и иными актами законодательства, заключили настоящее Дополнительное соглашение о нижеследующем: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Приложение 5 изложить в следующей редакции: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Приложение 5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                       </w:t>
        <w:tab/>
        <w:tab/>
        <w:tab/>
        <w:tab/>
        <w:tab/>
        <w:tab/>
        <w:tab/>
        <w:tab/>
        <w:t xml:space="preserve">        к договору предоставления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                                      безвозмездной (спонсорской) помощи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                                      </w:t>
        <w:tab/>
        <w:tab/>
        <w:tab/>
        <w:tab/>
        <w:tab/>
        <w:tab/>
        <w:tab/>
        <w:t xml:space="preserve">        от 26.12.2013г. № 26-12/13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Перечень товаров (имущества), работ, услуг,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имущественных прав, включая исключительные права на объекты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интеллектуальной собственности, предоставляемых в качестве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безвозмездной (спонсорской) помощи</w:t>
      </w:r>
    </w:p>
    <w:tbl>
      <w:tblPr>
        <w:tblStyle w:val="Table1"/>
        <w:bidi w:val="0"/>
        <w:tblW w:w="10206.000000000002" w:type="dxa"/>
        <w:jc w:val="left"/>
        <w:tblInd w:w="572.0" w:type="dxa"/>
        <w:tblLayout w:type="fixed"/>
        <w:tblLook w:val="0000"/>
      </w:tblPr>
      <w:tblGrid>
        <w:gridCol w:w="567"/>
        <w:gridCol w:w="5954"/>
        <w:gridCol w:w="737"/>
        <w:gridCol w:w="836"/>
        <w:gridCol w:w="837"/>
        <w:gridCol w:w="1275"/>
        <w:tblGridChange w:id="0">
          <w:tblGrid>
            <w:gridCol w:w="567"/>
            <w:gridCol w:w="5954"/>
            <w:gridCol w:w="737"/>
            <w:gridCol w:w="836"/>
            <w:gridCol w:w="837"/>
            <w:gridCol w:w="1275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№ п.п.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64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Наименование исключительных прав/Наименование и характеристики оборудования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Количество, шт.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440" w:hanging="44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Стоимость, руб.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НДС 20%, руб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Стоимость с НДС.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42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Клавиатура(Box)GENIUS Wired Desktop Combo KM-122 keyboard + mous (USB? Black Rus)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Жесткий диск 2Т Seagate ST200NM0055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Видеоадаптер GigaByte GFGT730 3GB DDR3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373-06270 Лицензия на программное обеспечение WinStd 2012R2RUS OLP NC Acdmc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R18-04271 Лицензия на программное обеспечение WnsvrcAL 2012 SNG L OLP N 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KW9-0032 Лицензия на программное обеспечение WINHOME 10 RUS OLP NL Acdmc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FqC-09519WinPro 10RUS Upgrd oLP NL Acdmc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19" w:right="142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16"/>
                <w:szCs w:val="16"/>
                <w:vertAlign w:val="baseline"/>
                <w:rtl w:val="0"/>
              </w:rPr>
              <w:t xml:space="preserve">021-10548 Лицензия на программное обеспечение Officestd 2016RUS OLP NL Acdmc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48,24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562,32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148,38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943,30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526,80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3864,96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2227,84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1655,84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9,65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112,46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29,68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188,66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105,36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772,99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445,57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331,17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57,89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674,78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178,06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1131,96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632,16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4637,95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2673,41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1987,01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Итого: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after="0" w:before="0" w:line="240" w:lineRule="auto"/>
              <w:ind w:left="1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11973,22 (Одиннадцать тысяч девятьсот семьдесят три рубля 22 копейки ), в том числе НДС ( 1995.54 Одна тысяча девятьсот девяносто пять рублей 54 копейки) белорусских рублей  (Основание: Декрет Президента РБ от 22.09.2005г. №12, п. 22) 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67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  <w:rtl w:val="0"/>
        </w:rPr>
        <w:t xml:space="preserve">Реквизиты и подписи сторон:</w:t>
      </w:r>
    </w:p>
    <w:tbl>
      <w:tblPr>
        <w:tblStyle w:val="Table2"/>
        <w:bidi w:val="0"/>
        <w:tblW w:w="10630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4"/>
        <w:gridCol w:w="5386"/>
        <w:tblGridChange w:id="0">
          <w:tblGrid>
            <w:gridCol w:w="5244"/>
            <w:gridCol w:w="538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Спонсор: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Получатель: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Общество с ограниченной ответственностью "Авем"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212022, г. Могилев, ул. Лазаренко, 29, корп. 1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р/с 3012111592003 ОАО "Банк БелВЭБ", МРО,                   г. Могилев, ул. Пионерская, 26, код 226                                УНП 790794915, ОКПО 300562687000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Директор____________________ В.В.Комков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                                         (подпись)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              М.П.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ind w:left="176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ГУ ВПО «Белорусско-Российский университет» 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76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г. Могилев, пр. Мира, 43 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176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р/с. № 3632901910040 в МОУ ОАО «АСБ Беларусбанк» ф-л № 700, г. Могилев код 536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"/>
                <w:szCs w:val="2"/>
                <w:vertAlign w:val="baseline"/>
                <w:rtl w:val="0"/>
              </w:rPr>
              <w:t xml:space="preserve">.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                                      УНН 700008843, ОКПО 02072009.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Ректор        ___________________     И.С. Сазонов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  <w:rtl w:val="0"/>
              </w:rPr>
              <w:t xml:space="preserve">(подпись)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                   М.П.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left="567" w:firstLine="567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8" w:w="11906"/>
      <w:pgMar w:bottom="284" w:top="340" w:left="454" w:right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