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04" w:rsidRPr="00B83023" w:rsidRDefault="00674F04">
      <w:pPr>
        <w:pStyle w:val="1"/>
        <w:numPr>
          <w:ilvl w:val="0"/>
          <w:numId w:val="0"/>
        </w:numPr>
        <w:tabs>
          <w:tab w:val="left" w:pos="2127"/>
        </w:tabs>
        <w:spacing w:before="0" w:after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ЛЕКЦИЯ № 5</w:t>
      </w:r>
    </w:p>
    <w:p w:rsidR="00674F04" w:rsidRPr="00B83023" w:rsidRDefault="00674F04">
      <w:pPr>
        <w:pStyle w:val="Normal"/>
        <w:ind w:firstLine="0"/>
        <w:jc w:val="center"/>
        <w:rPr>
          <w:b/>
        </w:rPr>
      </w:pPr>
      <w:r>
        <w:rPr>
          <w:b/>
          <w:noProof/>
        </w:rPr>
        <w:t>Тема.</w:t>
      </w:r>
      <w:r>
        <w:rPr>
          <w:b/>
        </w:rPr>
        <w:t xml:space="preserve"> НАКОПИТЕЛИ НА МАГНИТНЫХ НОСИТЕЛЯХ</w:t>
      </w:r>
    </w:p>
    <w:p w:rsidR="00674F04" w:rsidRDefault="00674F04">
      <w:pPr>
        <w:pStyle w:val="1"/>
        <w:spacing w:after="120"/>
        <w:ind w:left="357" w:hanging="357"/>
      </w:pPr>
      <w:r>
        <w:t>Физические основы регистрации информации на магнитном носителе</w:t>
      </w:r>
    </w:p>
    <w:p w:rsidR="00674F04" w:rsidRDefault="00674F04">
      <w:pPr>
        <w:pStyle w:val="Normal"/>
      </w:pPr>
      <w:r>
        <w:t>Запись и считывание информации на магнитном носителе происходят в процессе вза</w:t>
      </w:r>
      <w:r>
        <w:t>и</w:t>
      </w:r>
      <w:r>
        <w:t xml:space="preserve">модействия </w:t>
      </w:r>
      <w:r>
        <w:rPr>
          <w:i/>
        </w:rPr>
        <w:t>магнитного покрытия</w:t>
      </w:r>
      <w:r>
        <w:t xml:space="preserve">, т.е. «поверхности» носителя и </w:t>
      </w:r>
      <w:r>
        <w:rPr>
          <w:i/>
        </w:rPr>
        <w:t>магнитной головки</w:t>
      </w:r>
      <w:r>
        <w:t xml:space="preserve"> (МГ). </w:t>
      </w:r>
    </w:p>
    <w:p w:rsidR="00674F04" w:rsidRDefault="00674F04">
      <w:pPr>
        <w:pStyle w:val="Normal"/>
      </w:pPr>
      <w:r>
        <w:rPr>
          <w:b/>
        </w:rPr>
        <w:t>Магнитная головка</w:t>
      </w:r>
      <w:r>
        <w:t xml:space="preserve"> представляет собой электромагнит, располагаемый у поверхности движущегося носителя; она состоит из сердечника, выполняемого из магнитомягкого материала, обладающего малой коэрцитивной силой и большим значением индукции насыщения, и токовых обмоток. </w:t>
      </w:r>
    </w:p>
    <w:p w:rsidR="00674F04" w:rsidRDefault="00674F04">
      <w:pPr>
        <w:pStyle w:val="Normal"/>
      </w:pPr>
      <w:r>
        <w:rPr>
          <w:b/>
        </w:rPr>
        <w:t>Магнитное покрытие</w:t>
      </w:r>
      <w:r>
        <w:t xml:space="preserve"> носителя (</w:t>
      </w:r>
      <w:r>
        <w:rPr>
          <w:i/>
        </w:rPr>
        <w:t>рабочий магнитный слой</w:t>
      </w:r>
      <w:r>
        <w:t>), в котором происходит неп</w:t>
      </w:r>
      <w:r>
        <w:t>о</w:t>
      </w:r>
      <w:r>
        <w:t>средственная регистрация информации и ее хранение, выполняется из магнитотвердого матери</w:t>
      </w:r>
      <w:r>
        <w:t>а</w:t>
      </w:r>
      <w:r>
        <w:t>ла со сравнительно большими значениями коэрцитивной силы (</w:t>
      </w:r>
      <w:r>
        <w:rPr>
          <w:lang w:val="en-US"/>
        </w:rPr>
        <w:t>H</w:t>
      </w:r>
      <w:r>
        <w:rPr>
          <w:vertAlign w:val="subscript"/>
          <w:lang w:val="en-US"/>
        </w:rPr>
        <w:t>C</w:t>
      </w:r>
      <w:r>
        <w:t>=1</w:t>
      </w:r>
      <w:r w:rsidRPr="00B83023">
        <w:t>2</w:t>
      </w:r>
      <w:r>
        <w:rPr>
          <w:noProof/>
        </w:rPr>
        <w:t>000—80000</w:t>
      </w:r>
      <w:r>
        <w:t xml:space="preserve"> А/м) и </w:t>
      </w:r>
    </w:p>
    <w:p w:rsidR="00674F04" w:rsidRDefault="00674F04">
      <w:pPr>
        <w:pStyle w:val="Normal"/>
        <w:ind w:firstLine="0"/>
      </w:pPr>
      <w:r>
        <w:t>Будем изображать магнитный домен стрелкой, ос</w:t>
      </w:r>
      <w:r>
        <w:t>т</w:t>
      </w:r>
      <w:r>
        <w:t>рие которой соответствует северному полюсу. На рис.1 показаны различные возможные состояния материала носителя: (а)</w:t>
      </w:r>
      <w:r>
        <w:rPr>
          <w:i/>
          <w:noProof/>
        </w:rPr>
        <w:t xml:space="preserve"> —</w:t>
      </w:r>
      <w:r>
        <w:t xml:space="preserve"> размагниченное, когда ориентация доменов хаотична; (б) и (б)</w:t>
      </w:r>
      <w:r>
        <w:rPr>
          <w:noProof/>
        </w:rPr>
        <w:t xml:space="preserve"> —</w:t>
      </w:r>
      <w:r>
        <w:t xml:space="preserve"> намагн</w:t>
      </w:r>
      <w:r>
        <w:t>и</w:t>
      </w:r>
      <w:r>
        <w:t>ченности с</w:t>
      </w:r>
      <w:r w:rsidRPr="00B83023">
        <w:t xml:space="preserve"> </w:t>
      </w:r>
      <w:r>
        <w:t>горизонтальной ориентацией в одном из двух противоположных состояний насыщения; (г) и (д)</w:t>
      </w:r>
      <w:r>
        <w:rPr>
          <w:i/>
          <w:noProof/>
        </w:rPr>
        <w:t xml:space="preserve"> —</w:t>
      </w:r>
      <w:r>
        <w:t xml:space="preserve"> намагниченности с верт</w:t>
      </w:r>
      <w:r>
        <w:t>и</w:t>
      </w:r>
      <w:r>
        <w:t>кальной ор</w:t>
      </w:r>
      <w:r>
        <w:t>и</w:t>
      </w:r>
      <w:r>
        <w:t>ентацией доменов перпендикулярно плоскости носителя.</w:t>
      </w:r>
    </w:p>
    <w:p w:rsidR="00674F04" w:rsidRDefault="00674F04">
      <w:pPr>
        <w:pStyle w:val="Normal"/>
      </w:pPr>
      <w:r>
        <w:t>Т.о., современные ВЗУ используют для записи информации два противоположных с</w:t>
      </w:r>
      <w:r>
        <w:t>о</w:t>
      </w:r>
      <w:r>
        <w:t>стояния намагниченности. Размагниченное состояние, соответствующее хаотической ориентации доменов на рис.1</w:t>
      </w:r>
      <w:r>
        <w:rPr>
          <w:noProof/>
        </w:rPr>
        <w:t>.</w:t>
      </w:r>
      <w:r>
        <w:t xml:space="preserve">а, не используется, так как возникают трудности с переводом материала в это состояние, возрастает влияние помех, ухудшаются показатели плотности записи. </w:t>
      </w:r>
    </w:p>
    <w:p w:rsidR="00674F04" w:rsidRDefault="00674F04">
      <w:pPr>
        <w:pStyle w:val="2"/>
        <w:rPr>
          <w:lang w:val="en-US"/>
        </w:rPr>
      </w:pPr>
      <w:r>
        <w:t>Индуктивные магнитные головки</w:t>
      </w:r>
    </w:p>
    <w:p w:rsidR="00674F04" w:rsidRDefault="00674F04">
      <w:pPr>
        <w:pStyle w:val="Normal"/>
      </w:pPr>
      <w:r>
        <w:t>Внешнее магнитное поле, ориентирующее домены в определенном направлении, созд</w:t>
      </w:r>
      <w:r>
        <w:t>а</w:t>
      </w:r>
      <w:r>
        <w:t>ется МГ при записи, отке МГ в ее магнитопроводе создается магнитный поток, который замык</w:t>
      </w:r>
      <w:r>
        <w:t>а</w:t>
      </w:r>
      <w:r>
        <w:t>ется через зазор g. Поскольку магнитное сопротивление зазора g велико, поток частично замык</w:t>
      </w:r>
      <w:r>
        <w:t>а</w:t>
      </w:r>
      <w:r>
        <w:t>ется через магнитный слой носителя толщиной s, отстоящий от з</w:t>
      </w:r>
      <w:r>
        <w:t>а</w:t>
      </w:r>
      <w:r>
        <w:t>зора головки на расстояние d, что и приводит к изменению ориентации доменов в запоминающем слое. Таким образом, под действием магнитного потока домены магнитного слоя носителя ориентируются в одном напра</w:t>
      </w:r>
      <w:r>
        <w:t>в</w:t>
      </w:r>
      <w:r>
        <w:t>лении на тех участках, которые оказались в «зоне действия» МГ при перемещении носителя о</w:t>
      </w:r>
      <w:r>
        <w:t>т</w:t>
      </w:r>
      <w:r>
        <w:t xml:space="preserve">носительно нее. Изменение направления тока записи </w:t>
      </w:r>
      <w:r>
        <w:rPr>
          <w:i/>
        </w:rPr>
        <w:t>I</w:t>
      </w:r>
      <w:r>
        <w:rPr>
          <w:i/>
          <w:vertAlign w:val="subscript"/>
        </w:rPr>
        <w:t>w</w:t>
      </w:r>
      <w:r>
        <w:t xml:space="preserve"> вызывает соответствующую смену направления магнитного потока в магнитопроводе, что приводит к изменению ориентации (гр</w:t>
      </w:r>
      <w:r>
        <w:t>а</w:t>
      </w:r>
      <w:r>
        <w:t>нице) между участками носителя с прот</w:t>
      </w:r>
      <w:r>
        <w:t>и</w:t>
      </w:r>
      <w:r>
        <w:t>воположными состояниями намагниченности. Т. о., на магнитном носителе сохраняется информация о де</w:t>
      </w:r>
      <w:r>
        <w:t>й</w:t>
      </w:r>
      <w:r>
        <w:t>ствовавшем магнитном поле.</w:t>
      </w:r>
    </w:p>
    <w:p w:rsidR="00674F04" w:rsidRDefault="00674F04">
      <w:pPr>
        <w:pStyle w:val="Normal"/>
      </w:pPr>
      <w:r>
        <w:t xml:space="preserve">Количество переходов, размещаемых на единице длины носителя, называют </w:t>
      </w:r>
      <w:r>
        <w:rPr>
          <w:i/>
        </w:rPr>
        <w:t xml:space="preserve">физической </w:t>
      </w:r>
      <w:r>
        <w:t>использовать лишь два состояния намагн</w:t>
      </w:r>
      <w:r>
        <w:t>и</w:t>
      </w:r>
      <w:r>
        <w:t>ченности покрытия, то для регистрации информациии особое значение приобретают переходы от одного состояния к противоположному. Этот переход является «отпечатком», который может быть обн</w:t>
      </w:r>
      <w:r>
        <w:t>а</w:t>
      </w:r>
      <w:r>
        <w:t xml:space="preserve">ружен с помощью </w:t>
      </w:r>
      <w:r>
        <w:rPr>
          <w:i/>
        </w:rPr>
        <w:t>МГ чтения</w:t>
      </w:r>
      <w:r>
        <w:t xml:space="preserve">. </w:t>
      </w:r>
    </w:p>
    <w:p w:rsidR="00674F04" w:rsidRDefault="00674F04">
      <w:pPr>
        <w:pStyle w:val="Normal"/>
      </w:pPr>
      <w:r>
        <w:rPr>
          <w:i/>
        </w:rPr>
        <w:t>Магнитная головка чтения</w:t>
      </w:r>
      <w:r>
        <w:t xml:space="preserve"> позволяет определять моменты времени, когда при движении носителя под ней оказываются границы между участками с противоположными состояниями намагниченности носителя. Магнитный поток Ф, создаваемый доменами носителя, частично з</w:t>
      </w:r>
      <w:r>
        <w:t>а</w:t>
      </w:r>
      <w:r>
        <w:t>мыкается через магнитопровод МГ чтения. При прохождении отпечатка под МГ чтения потоко</w:t>
      </w:r>
      <w:r>
        <w:t>с</w:t>
      </w:r>
      <w:r>
        <w:t>цепление ее обмотки изменяется и в ней нав</w:t>
      </w:r>
      <w:r>
        <w:t>о</w:t>
      </w:r>
      <w:r>
        <w:t xml:space="preserve">дится ЭДС. </w:t>
      </w:r>
    </w:p>
    <w:p w:rsidR="00674F04" w:rsidRDefault="00674F04">
      <w:pPr>
        <w:pStyle w:val="Normal"/>
      </w:pPr>
      <w:r>
        <w:t>Согласно закону Фарадея, ЭДС считывания</w:t>
      </w:r>
      <w:r w:rsidRPr="00B83023">
        <w:t xml:space="preserve">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r</w:t>
      </w:r>
      <w:r>
        <w:t xml:space="preserve"> пропорциональна скорости изменения п</w:t>
      </w:r>
      <w:r>
        <w:t>о</w:t>
      </w:r>
      <w:r>
        <w:t>тока Ф:</w:t>
      </w:r>
    </w:p>
    <w:p w:rsidR="00674F04" w:rsidRDefault="00674F04">
      <w:pPr>
        <w:pStyle w:val="Normal"/>
        <w:rPr>
          <w:i/>
          <w:lang w:val="en-US"/>
        </w:rPr>
      </w:pPr>
      <w:r>
        <w:rPr>
          <w:i/>
          <w:position w:val="-10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 fillcolor="window">
            <v:imagedata r:id="rId8" o:title=""/>
          </v:shape>
          <o:OLEObject Type="Embed" ProgID="Equation.3" ShapeID="_x0000_i1025" DrawAspect="Content" ObjectID="_1579697286" r:id="rId9"/>
        </w:object>
      </w:r>
      <w:r>
        <w:rPr>
          <w:i/>
          <w:position w:val="-24"/>
          <w:lang w:val="en-US"/>
        </w:rPr>
        <w:object w:dxaOrig="1540" w:dyaOrig="620">
          <v:shape id="_x0000_i1026" type="#_x0000_t75" style="width:76.8pt;height:31.2pt" o:ole="" fillcolor="window">
            <v:imagedata r:id="rId10" o:title=""/>
          </v:shape>
          <o:OLEObject Type="Embed" ProgID="Equation.3" ShapeID="_x0000_i1026" DrawAspect="Content" ObjectID="_1579697287" r:id="rId11"/>
        </w:object>
      </w:r>
    </w:p>
    <w:p w:rsidR="00674F04" w:rsidRDefault="00674F04">
      <w:pPr>
        <w:pStyle w:val="Normal"/>
        <w:spacing w:line="220" w:lineRule="atLeast"/>
      </w:pPr>
      <w:r>
        <w:t xml:space="preserve">Ф = </w:t>
      </w:r>
      <w:r>
        <w:rPr>
          <w:i/>
          <w:lang w:val="en-US"/>
        </w:rPr>
        <w:t>f</w:t>
      </w:r>
      <w:r w:rsidRPr="00B83023">
        <w:t xml:space="preserve"> (</w:t>
      </w:r>
      <w:r>
        <w:rPr>
          <w:lang w:val="en-US"/>
        </w:rPr>
        <w:t>d</w:t>
      </w:r>
      <w:r w:rsidRPr="00B83023">
        <w:t xml:space="preserve">, </w:t>
      </w:r>
      <w:r>
        <w:rPr>
          <w:lang w:val="en-US"/>
        </w:rPr>
        <w:t>s</w:t>
      </w:r>
      <w:r w:rsidRPr="00B83023">
        <w:t xml:space="preserve">, </w:t>
      </w:r>
      <w:r>
        <w:rPr>
          <w:lang w:val="en-US"/>
        </w:rPr>
        <w:t>B</w:t>
      </w:r>
      <w:r>
        <w:rPr>
          <w:vertAlign w:val="subscript"/>
          <w:lang w:val="en-US"/>
        </w:rPr>
        <w:t>r</w:t>
      </w:r>
      <w:r w:rsidRPr="00B83023">
        <w:t xml:space="preserve">, </w:t>
      </w:r>
      <w:r>
        <w:rPr>
          <w:lang w:val="en-US"/>
        </w:rPr>
        <w:t>x</w:t>
      </w:r>
      <w:r w:rsidRPr="00B83023">
        <w:t>)</w:t>
      </w:r>
      <w:r>
        <w:t>,</w:t>
      </w:r>
    </w:p>
    <w:p w:rsidR="00674F04" w:rsidRPr="00B83023" w:rsidRDefault="00674F04">
      <w:pPr>
        <w:pStyle w:val="Normal"/>
        <w:ind w:left="4678" w:hanging="1985"/>
      </w:pPr>
      <w:r>
        <w:t xml:space="preserve">где </w:t>
      </w:r>
      <w:r>
        <w:rPr>
          <w:lang w:val="en-US"/>
        </w:rPr>
        <w:t>B</w:t>
      </w:r>
      <w:r>
        <w:rPr>
          <w:vertAlign w:val="subscript"/>
          <w:lang w:val="en-US"/>
        </w:rPr>
        <w:t>r</w:t>
      </w:r>
      <w:r w:rsidRPr="00B83023">
        <w:t xml:space="preserve"> – остаточная магнитная индукция;</w:t>
      </w:r>
    </w:p>
    <w:p w:rsidR="00674F04" w:rsidRPr="00B83023" w:rsidRDefault="00674F04">
      <w:pPr>
        <w:pStyle w:val="Normal"/>
        <w:ind w:firstLine="3119"/>
      </w:pPr>
      <w:r>
        <w:rPr>
          <w:lang w:val="en-US"/>
        </w:rPr>
        <w:t>x</w:t>
      </w:r>
      <w:r w:rsidRPr="00B83023">
        <w:t xml:space="preserve"> – координата точки носителя под зазором;</w:t>
      </w:r>
    </w:p>
    <w:p w:rsidR="00674F04" w:rsidRPr="00B83023" w:rsidRDefault="00674F04">
      <w:pPr>
        <w:pStyle w:val="Normal"/>
        <w:ind w:firstLine="3119"/>
      </w:pPr>
      <w:r>
        <w:rPr>
          <w:lang w:val="en-US"/>
        </w:rPr>
        <w:t>V</w:t>
      </w:r>
      <w:r w:rsidRPr="00B83023">
        <w:t xml:space="preserve"> – скорость вращения носителя.</w:t>
      </w:r>
    </w:p>
    <w:p w:rsidR="00674F04" w:rsidRDefault="00674F04">
      <w:pPr>
        <w:pStyle w:val="Normal"/>
      </w:pPr>
      <w:r w:rsidRPr="00B83023">
        <w:t xml:space="preserve">В токовой обмотке магнитной головки чтения возникает токовый импульс чтения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r</w:t>
      </w:r>
      <w:r w:rsidRPr="00B83023">
        <w:rPr>
          <w:i/>
        </w:rPr>
        <w:t xml:space="preserve">= </w:t>
      </w:r>
      <w:r>
        <w:rPr>
          <w:i/>
          <w:lang w:val="en-US"/>
        </w:rPr>
        <w:t>f</w:t>
      </w:r>
      <w:r w:rsidRPr="00B83023">
        <w:rPr>
          <w:i/>
        </w:rPr>
        <w:t xml:space="preserve"> (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r</w:t>
      </w:r>
      <w:r w:rsidRPr="00B83023">
        <w:rPr>
          <w:i/>
        </w:rPr>
        <w:t xml:space="preserve">), </w:t>
      </w:r>
      <w:r w:rsidRPr="00B83023">
        <w:t>прямопорциональный</w:t>
      </w:r>
      <w:r w:rsidRPr="00B83023">
        <w:rPr>
          <w:i/>
        </w:rPr>
        <w:t xml:space="preserve">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r</w:t>
      </w:r>
      <w:r>
        <w:rPr>
          <w:i/>
        </w:rPr>
        <w:t>.</w:t>
      </w:r>
    </w:p>
    <w:p w:rsidR="00674F04" w:rsidRDefault="00674F04">
      <w:pPr>
        <w:pStyle w:val="Normal"/>
        <w:ind w:firstLine="0"/>
        <w:jc w:val="center"/>
        <w:rPr>
          <w:lang w:val="en-US"/>
        </w:rPr>
      </w:pPr>
      <w:r>
        <w:lastRenderedPageBreak/>
        <w:t>при</w:t>
      </w:r>
      <w:r w:rsidRPr="00B83023">
        <w:rPr>
          <w:lang w:val="en-US"/>
        </w:rPr>
        <w:t xml:space="preserve"> </w:t>
      </w:r>
      <w:r>
        <w:rPr>
          <w:i/>
          <w:lang w:val="en-US"/>
        </w:rPr>
        <w:t>V = const</w:t>
      </w:r>
      <w:r>
        <w:rPr>
          <w:lang w:val="en-US"/>
        </w:rPr>
        <w:t xml:space="preserve">          </w:t>
      </w:r>
      <w:r>
        <w:rPr>
          <w:i/>
          <w:lang w:val="en-US"/>
        </w:rPr>
        <w:t>L = V</w:t>
      </w:r>
      <w:r>
        <w:rPr>
          <w:i/>
          <w:vertAlign w:val="superscript"/>
          <w:lang w:val="en-US"/>
        </w:rPr>
        <w:t>.</w:t>
      </w:r>
      <w:r>
        <w:rPr>
          <w:i/>
          <w:lang w:val="en-US"/>
        </w:rPr>
        <w:t>t</w:t>
      </w:r>
      <w:r>
        <w:rPr>
          <w:lang w:val="en-US"/>
        </w:rPr>
        <w:t xml:space="preserve"> </w:t>
      </w:r>
      <w:r w:rsidRPr="00B83023">
        <w:rPr>
          <w:lang w:val="en-US"/>
        </w:rPr>
        <w:t xml:space="preserve"> </w:t>
      </w:r>
    </w:p>
    <w:p w:rsidR="00674F04" w:rsidRPr="00B83023" w:rsidRDefault="00674F04">
      <w:pPr>
        <w:pStyle w:val="Normal"/>
        <w:spacing w:line="200" w:lineRule="atLeast"/>
      </w:pPr>
      <w:r w:rsidRPr="00B83023">
        <w:t>Изменение направления ЭДС в течение некоторого промежутка времени отождествляе</w:t>
      </w:r>
      <w:r w:rsidRPr="00B83023">
        <w:t>т</w:t>
      </w:r>
      <w:r w:rsidRPr="00B83023">
        <w:t>ся с двоичной единицей, а отсутствие этого изменения – с нулем. Указанный промежуток врем</w:t>
      </w:r>
      <w:r w:rsidRPr="00B83023">
        <w:t>е</w:t>
      </w:r>
      <w:r w:rsidRPr="00B83023">
        <w:t>ни наз</w:t>
      </w:r>
      <w:r w:rsidRPr="00B83023">
        <w:t>ы</w:t>
      </w:r>
      <w:r w:rsidRPr="00B83023">
        <w:t xml:space="preserve">вается </w:t>
      </w:r>
      <w:r w:rsidRPr="00B83023">
        <w:rPr>
          <w:i/>
        </w:rPr>
        <w:t>битовым элементом</w:t>
      </w:r>
      <w:r w:rsidRPr="00B83023">
        <w:t>.</w:t>
      </w:r>
    </w:p>
    <w:p w:rsidR="00674F04" w:rsidRDefault="00674F04">
      <w:pPr>
        <w:pStyle w:val="Normal"/>
        <w:spacing w:line="200" w:lineRule="atLeast"/>
        <w:rPr>
          <w:sz w:val="20"/>
        </w:rPr>
      </w:pPr>
      <w:r w:rsidRPr="00B83023">
        <w:t>Для увеличения плотности записи необходимо уменьшать длительность токового и</w:t>
      </w:r>
      <w:r w:rsidRPr="00B83023">
        <w:t>м</w:t>
      </w:r>
      <w:r w:rsidRPr="00B83023">
        <w:t>пульса чтения. Этого можно достичь п</w:t>
      </w:r>
      <w:r w:rsidRPr="00B83023">
        <w:t>у</w:t>
      </w:r>
      <w:r w:rsidRPr="00B83023">
        <w:t xml:space="preserve">тем уменьшения зазора в головке </w:t>
      </w:r>
      <w:r>
        <w:rPr>
          <w:lang w:val="en-US"/>
        </w:rPr>
        <w:t>g</w:t>
      </w:r>
      <w:r>
        <w:t xml:space="preserve">, толщины магнитного покрытия </w:t>
      </w:r>
      <w:r>
        <w:rPr>
          <w:lang w:val="en-US"/>
        </w:rPr>
        <w:t>s</w:t>
      </w:r>
      <w:r w:rsidRPr="00B83023">
        <w:t xml:space="preserve">, расстояния </w:t>
      </w:r>
      <w:r>
        <w:rPr>
          <w:lang w:val="en-US"/>
        </w:rPr>
        <w:t>d</w:t>
      </w:r>
      <w:r w:rsidRPr="00B83023">
        <w:t xml:space="preserve"> и длины перехода </w:t>
      </w:r>
      <w:r>
        <w:rPr>
          <w:lang w:val="en-US"/>
        </w:rPr>
        <w:t>a</w:t>
      </w:r>
      <w:r w:rsidRPr="00B83023">
        <w:t xml:space="preserve">. </w:t>
      </w:r>
      <w:r w:rsidRPr="00B83023">
        <w:rPr>
          <w:sz w:val="20"/>
        </w:rPr>
        <w:t xml:space="preserve">При </w:t>
      </w:r>
      <w:r>
        <w:rPr>
          <w:sz w:val="20"/>
          <w:lang w:val="en-US"/>
        </w:rPr>
        <w:t>d</w:t>
      </w:r>
      <w:r w:rsidRPr="00B83023">
        <w:rPr>
          <w:sz w:val="20"/>
        </w:rPr>
        <w:t xml:space="preserve"> = 0 – контактная запись, а при </w:t>
      </w:r>
      <w:r>
        <w:rPr>
          <w:sz w:val="20"/>
          <w:lang w:val="en-US"/>
        </w:rPr>
        <w:t>d</w:t>
      </w:r>
      <w:r w:rsidRPr="00B83023">
        <w:rPr>
          <w:sz w:val="20"/>
        </w:rPr>
        <w:t xml:space="preserve"> &gt; 0 – </w:t>
      </w:r>
      <w:r>
        <w:rPr>
          <w:sz w:val="20"/>
        </w:rPr>
        <w:t>бесконтактная з</w:t>
      </w:r>
      <w:r>
        <w:rPr>
          <w:sz w:val="20"/>
        </w:rPr>
        <w:t>а</w:t>
      </w:r>
      <w:r>
        <w:rPr>
          <w:sz w:val="20"/>
        </w:rPr>
        <w:t>пись.</w:t>
      </w:r>
    </w:p>
    <w:p w:rsidR="00674F04" w:rsidRPr="00B83023" w:rsidRDefault="00674F04">
      <w:pPr>
        <w:pStyle w:val="Normal"/>
        <w:spacing w:line="200" w:lineRule="atLeast"/>
      </w:pPr>
      <w:r>
        <w:t xml:space="preserve">Т.к. </w:t>
      </w:r>
      <w:r w:rsidRPr="00B83023">
        <w:t xml:space="preserve">токовый импульс чтения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r</w:t>
      </w:r>
      <w:r w:rsidRPr="00B83023">
        <w:t xml:space="preserve"> </w:t>
      </w:r>
      <w:r w:rsidRPr="00B83023">
        <w:rPr>
          <w:i/>
          <w:vertAlign w:val="subscript"/>
        </w:rPr>
        <w:t xml:space="preserve"> </w:t>
      </w:r>
      <w:r w:rsidRPr="00B83023">
        <w:t>является производной от магнитногопотока, для увере</w:t>
      </w:r>
      <w:r w:rsidRPr="00B83023">
        <w:t>н</w:t>
      </w:r>
      <w:r w:rsidRPr="00B83023">
        <w:t>ного считывания данных необходимо увеличивать чувствител</w:t>
      </w:r>
      <w:r w:rsidRPr="00B83023">
        <w:t>ь</w:t>
      </w:r>
      <w:r w:rsidRPr="00B83023">
        <w:t xml:space="preserve">ность </w:t>
      </w:r>
      <w:r>
        <w:t>МГ чтения.</w:t>
      </w:r>
    </w:p>
    <w:p w:rsidR="00674F04" w:rsidRPr="00B83023" w:rsidRDefault="00674F04">
      <w:pPr>
        <w:pStyle w:val="Normal"/>
        <w:spacing w:line="200" w:lineRule="atLeast"/>
      </w:pPr>
      <w:r w:rsidRPr="00B83023">
        <w:t>Требования к оптимальной конструкции головок для процессов записи и считывания различаются, так что универсальная головка представляет собой некоторый компромисс.</w:t>
      </w:r>
    </w:p>
    <w:p w:rsidR="00674F04" w:rsidRDefault="00674F04">
      <w:pPr>
        <w:pStyle w:val="2"/>
        <w:ind w:left="788" w:hanging="431"/>
      </w:pPr>
      <w:r>
        <w:t>MR- и GMR-головки чтения</w:t>
      </w:r>
    </w:p>
    <w:p w:rsidR="00674F04" w:rsidRPr="00B83023" w:rsidRDefault="00674F04">
      <w:pPr>
        <w:pStyle w:val="Normal"/>
      </w:pPr>
      <w:r w:rsidRPr="00B83023">
        <w:t xml:space="preserve">В магниторезистивных головках </w:t>
      </w:r>
      <w:r>
        <w:t xml:space="preserve">(magneto-resistive, магниторезистивный) </w:t>
      </w:r>
      <w:r w:rsidRPr="00B83023">
        <w:t xml:space="preserve">и головках с гигантской магниторезистивностью </w:t>
      </w:r>
      <w:r>
        <w:t xml:space="preserve">(giant magnetoresistive, гигантский магниторезистивный) </w:t>
      </w:r>
      <w:r w:rsidRPr="00B83023">
        <w:t>ток чтения не является функцией от производной магнитного потока, а полностью повторяет измен</w:t>
      </w:r>
      <w:r w:rsidRPr="00B83023">
        <w:t>е</w:t>
      </w:r>
      <w:r w:rsidRPr="00B83023">
        <w:t xml:space="preserve">ние потока. </w:t>
      </w:r>
    </w:p>
    <w:p w:rsidR="00674F04" w:rsidRDefault="00674F04">
      <w:pPr>
        <w:pStyle w:val="Normal"/>
      </w:pPr>
      <w:r w:rsidRPr="00B83023">
        <w:t>Т.е</w:t>
      </w:r>
      <w:r>
        <w:rPr>
          <w:b/>
        </w:rPr>
        <w:t xml:space="preserve"> заключается в их чувствительности к изменению магнитного поля, то есть к т</w:t>
      </w:r>
      <w:r>
        <w:rPr>
          <w:b/>
        </w:rPr>
        <w:t>о</w:t>
      </w:r>
      <w:r>
        <w:rPr>
          <w:b/>
        </w:rPr>
        <w:t>му, насколько сильно изменяется сопротивление сенсора при изм</w:t>
      </w:r>
      <w:r>
        <w:rPr>
          <w:b/>
        </w:rPr>
        <w:t>е</w:t>
      </w:r>
      <w:r>
        <w:rPr>
          <w:b/>
        </w:rPr>
        <w:t>нении магнитного поля внутри него. Современные GMR-сенсоры в несколько раз чувствительнее св</w:t>
      </w:r>
      <w:r>
        <w:rPr>
          <w:b/>
        </w:rPr>
        <w:t>о</w:t>
      </w:r>
      <w:r>
        <w:rPr>
          <w:b/>
        </w:rPr>
        <w:t>их MR-конкурентов</w:t>
      </w:r>
      <w:r>
        <w:t>.</w:t>
      </w:r>
    </w:p>
    <w:p w:rsidR="00674F04" w:rsidRDefault="00674F04">
      <w:pPr>
        <w:pStyle w:val="Normal"/>
      </w:pPr>
      <w:r>
        <w:t>Магниторезистивная головка считывания хорошо уживается с индуктивной головкой з</w:t>
      </w:r>
      <w:r>
        <w:t>а</w:t>
      </w:r>
      <w:r>
        <w:t>писи, что позволяет достигать высокой плотности записи информации на магнитный носитель. Однако по технологии изготовления она сложнее тонкопленочной индуктивной, поскольку в ней сочетаются разнородные компоненты.</w:t>
      </w:r>
    </w:p>
    <w:p w:rsidR="00674F04" w:rsidRDefault="00674F04">
      <w:pPr>
        <w:pStyle w:val="Normal"/>
      </w:pPr>
      <w:r>
        <w:t xml:space="preserve">MR-головками достигнута плотность записи 3,09 Гбит/кв. дюйм, а GMR-головки - 11,6 Гбит/кв. дюйм. </w:t>
      </w:r>
    </w:p>
    <w:p w:rsidR="00674F04" w:rsidRPr="00B83023" w:rsidRDefault="00674F04">
      <w:pPr>
        <w:pStyle w:val="Normal"/>
      </w:pPr>
      <w:r>
        <w:t>Согласно прогнозов, к 2001 году плотность записи на поверхности серийно выпускаемых жестких дисков составит 10 Гбит/кв. дюйм, а к 2004 году -40 Гбит/кв. Несложно сделать вывод, что к 2001 году максимальный объем дисков будет не менее 75 Гбайт, а к 2004 году - не менее 200 Гбайт.</w:t>
      </w:r>
    </w:p>
    <w:sectPr w:rsidR="00674F04" w:rsidRPr="00B83023">
      <w:headerReference w:type="even" r:id="rId12"/>
      <w:headerReference w:type="default" r:id="rId13"/>
      <w:pgSz w:w="11900" w:h="16820" w:code="9"/>
      <w:pgMar w:top="680" w:right="680" w:bottom="777" w:left="1134" w:header="113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409E">
      <w:r>
        <w:separator/>
      </w:r>
    </w:p>
  </w:endnote>
  <w:endnote w:type="continuationSeparator" w:id="0">
    <w:p w:rsidR="00000000" w:rsidRDefault="001D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409E">
      <w:r>
        <w:separator/>
      </w:r>
    </w:p>
  </w:footnote>
  <w:footnote w:type="continuationSeparator" w:id="0">
    <w:p w:rsidR="00000000" w:rsidRDefault="001D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04" w:rsidRDefault="00674F0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74F04" w:rsidRDefault="00674F04">
    <w:pPr>
      <w:pStyle w:val="a3"/>
      <w:ind w:right="360" w:firstLine="360"/>
    </w:pPr>
  </w:p>
  <w:p w:rsidR="00674F04" w:rsidRDefault="00674F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04" w:rsidRDefault="00674F0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09E">
      <w:rPr>
        <w:rStyle w:val="a5"/>
        <w:noProof/>
      </w:rPr>
      <w:t>1</w:t>
    </w:r>
    <w:r>
      <w:rPr>
        <w:rStyle w:val="a5"/>
      </w:rPr>
      <w:fldChar w:fldCharType="end"/>
    </w:r>
  </w:p>
  <w:p w:rsidR="00674F04" w:rsidRDefault="00674F04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E88"/>
    <w:multiLevelType w:val="singleLevel"/>
    <w:tmpl w:val="67F2337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2B7462"/>
    <w:multiLevelType w:val="multilevel"/>
    <w:tmpl w:val="A49454F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1553A50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D03563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40322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AE69AD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D570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1"/>
  </w:num>
  <w:num w:numId="5">
    <w:abstractNumId w:val="18"/>
  </w:num>
  <w:num w:numId="6">
    <w:abstractNumId w:val="17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9"/>
  </w:num>
  <w:num w:numId="14">
    <w:abstractNumId w:val="19"/>
  </w:num>
  <w:num w:numId="15">
    <w:abstractNumId w:val="14"/>
  </w:num>
  <w:num w:numId="16">
    <w:abstractNumId w:val="22"/>
  </w:num>
  <w:num w:numId="17">
    <w:abstractNumId w:val="25"/>
  </w:num>
  <w:num w:numId="18">
    <w:abstractNumId w:val="16"/>
  </w:num>
  <w:num w:numId="19">
    <w:abstractNumId w:val="24"/>
  </w:num>
  <w:num w:numId="20">
    <w:abstractNumId w:val="6"/>
  </w:num>
  <w:num w:numId="21">
    <w:abstractNumId w:val="26"/>
  </w:num>
  <w:num w:numId="22">
    <w:abstractNumId w:val="15"/>
  </w:num>
  <w:num w:numId="23">
    <w:abstractNumId w:val="23"/>
  </w:num>
  <w:num w:numId="24">
    <w:abstractNumId w:val="5"/>
  </w:num>
  <w:num w:numId="25">
    <w:abstractNumId w:val="20"/>
  </w:num>
  <w:num w:numId="26">
    <w:abstractNumId w:val="12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3"/>
    <w:rsid w:val="001D409E"/>
    <w:rsid w:val="00674F04"/>
    <w:rsid w:val="00B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4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4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4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4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2001-03-22T06:34:00Z</cp:lastPrinted>
  <dcterms:created xsi:type="dcterms:W3CDTF">2018-02-09T13:02:00Z</dcterms:created>
  <dcterms:modified xsi:type="dcterms:W3CDTF">2018-02-09T13:02:00Z</dcterms:modified>
</cp:coreProperties>
</file>